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b/>
          <w:bCs/>
          <w:sz w:val="44"/>
          <w:szCs w:val="44"/>
          <w:lang w:eastAsia="zh-CN"/>
        </w:rPr>
      </w:pPr>
      <w:bookmarkStart w:id="1" w:name="_GoBack"/>
      <w:r>
        <w:rPr>
          <w:rFonts w:hint="eastAsia" w:eastAsiaTheme="minorEastAsia"/>
          <w:b/>
          <w:bCs/>
          <w:sz w:val="44"/>
          <w:szCs w:val="44"/>
          <w:lang w:eastAsia="zh-CN"/>
        </w:rPr>
        <w:drawing>
          <wp:anchor distT="0" distB="0" distL="114300" distR="114300" simplePos="0" relativeHeight="251659264" behindDoc="1" locked="0" layoutInCell="1" allowOverlap="1">
            <wp:simplePos x="0" y="0"/>
            <wp:positionH relativeFrom="column">
              <wp:posOffset>3552190</wp:posOffset>
            </wp:positionH>
            <wp:positionV relativeFrom="paragraph">
              <wp:posOffset>-694690</wp:posOffset>
            </wp:positionV>
            <wp:extent cx="2381250" cy="2381250"/>
            <wp:effectExtent l="0" t="0" r="0" b="0"/>
            <wp:wrapThrough wrapText="bothSides">
              <wp:wrapPolygon>
                <wp:start x="0" y="0"/>
                <wp:lineTo x="0" y="21427"/>
                <wp:lineTo x="21427" y="21427"/>
                <wp:lineTo x="21427" y="0"/>
                <wp:lineTo x="0" y="0"/>
              </wp:wrapPolygon>
            </wp:wrapThrough>
            <wp:docPr id="1" name="图片 1" descr="ohans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hans图标"/>
                    <pic:cNvPicPr>
                      <a:picLocks noChangeAspect="1"/>
                    </pic:cNvPicPr>
                  </pic:nvPicPr>
                  <pic:blipFill>
                    <a:blip r:embed="rId5"/>
                    <a:stretch>
                      <a:fillRect/>
                    </a:stretch>
                  </pic:blipFill>
                  <pic:spPr>
                    <a:xfrm>
                      <a:off x="0" y="0"/>
                      <a:ext cx="2381250" cy="2381250"/>
                    </a:xfrm>
                    <a:prstGeom prst="rect">
                      <a:avLst/>
                    </a:prstGeom>
                  </pic:spPr>
                </pic:pic>
              </a:graphicData>
            </a:graphic>
          </wp:anchor>
        </w:drawing>
      </w:r>
    </w:p>
    <w:p>
      <w:pPr>
        <w:jc w:val="left"/>
        <w:rPr>
          <w:b/>
          <w:bCs/>
          <w:sz w:val="44"/>
          <w:szCs w:val="44"/>
        </w:rPr>
      </w:pPr>
      <w:r>
        <w:rPr>
          <w:b/>
          <w:bCs/>
          <w:sz w:val="44"/>
          <w:szCs w:val="44"/>
        </w:rPr>
        <w:t xml:space="preserve">Technical </w:t>
      </w:r>
      <w:r>
        <w:rPr>
          <w:rFonts w:hint="eastAsia"/>
          <w:b/>
          <w:bCs/>
          <w:sz w:val="44"/>
          <w:szCs w:val="44"/>
        </w:rPr>
        <w:t>D</w:t>
      </w:r>
      <w:r>
        <w:rPr>
          <w:b/>
          <w:bCs/>
          <w:sz w:val="44"/>
          <w:szCs w:val="44"/>
        </w:rPr>
        <w:t>atasheet</w:t>
      </w:r>
    </w:p>
    <w:p>
      <w:pPr>
        <w:rPr>
          <w:b/>
          <w:bCs/>
          <w:sz w:val="44"/>
          <w:szCs w:val="44"/>
        </w:rPr>
      </w:pPr>
    </w:p>
    <w:tbl>
      <w:tblPr>
        <w:tblStyle w:val="7"/>
        <w:tblW w:w="0" w:type="auto"/>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Ex>
        <w:tc>
          <w:tcPr>
            <w:tcW w:w="8296" w:type="dxa"/>
            <w:tcBorders>
              <w:top w:val="single" w:color="000000" w:themeColor="text1" w:sz="8" w:space="0"/>
              <w:left w:val="nil"/>
              <w:bottom w:val="single" w:color="000000" w:themeColor="text1" w:sz="8" w:space="0"/>
              <w:right w:val="nil"/>
            </w:tcBorders>
          </w:tcPr>
          <w:p>
            <w:pPr>
              <w:rPr>
                <w:rFonts w:hint="default" w:eastAsiaTheme="minorEastAsia"/>
                <w:b/>
                <w:bCs/>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14:textFill>
                  <w14:solidFill>
                    <w14:schemeClr w14:val="tx1"/>
                  </w14:solidFill>
                </w14:textFill>
              </w:rPr>
              <w:t xml:space="preserve">Date： </w:t>
            </w:r>
            <w:r>
              <w:rPr>
                <w:b w:val="0"/>
                <w:bCs w:val="0"/>
                <w:color w:val="000000" w:themeColor="text1"/>
                <w:sz w:val="24"/>
                <w:szCs w:val="24"/>
                <w14:textFill>
                  <w14:solidFill>
                    <w14:schemeClr w14:val="tx1"/>
                  </w14:solidFill>
                </w14:textFill>
              </w:rPr>
              <w:t xml:space="preserve">   202</w:t>
            </w:r>
            <w:r>
              <w:rPr>
                <w:rFonts w:hint="eastAsia"/>
                <w:b w:val="0"/>
                <w:bCs w:val="0"/>
                <w:color w:val="000000" w:themeColor="text1"/>
                <w:sz w:val="24"/>
                <w:szCs w:val="24"/>
                <w:lang w:val="en-US" w:eastAsia="zh-CN"/>
                <w14:textFill>
                  <w14:solidFill>
                    <w14:schemeClr w14:val="tx1"/>
                  </w14:solidFill>
                </w14:textFill>
              </w:rPr>
              <w:t>2</w:t>
            </w:r>
            <w:r>
              <w:rPr>
                <w:b w:val="0"/>
                <w:bCs w:val="0"/>
                <w:color w:val="000000" w:themeColor="text1"/>
                <w:sz w:val="24"/>
                <w:szCs w:val="24"/>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1</w:t>
            </w:r>
            <w:r>
              <w:rPr>
                <w:b w:val="0"/>
                <w:bCs w:val="0"/>
                <w:color w:val="000000" w:themeColor="text1"/>
                <w:sz w:val="24"/>
                <w:szCs w:val="24"/>
                <w14:textFill>
                  <w14:solidFill>
                    <w14:schemeClr w14:val="tx1"/>
                  </w14:solidFill>
                </w14:textFill>
              </w:rPr>
              <w:t>.1</w:t>
            </w:r>
            <w:r>
              <w:rPr>
                <w:rFonts w:hint="eastAsia"/>
                <w:b w:val="0"/>
                <w:bCs w:val="0"/>
                <w:color w:val="000000" w:themeColor="text1"/>
                <w:sz w:val="24"/>
                <w:szCs w:val="24"/>
                <w:lang w:val="en-US" w:eastAsia="zh-CN"/>
                <w14:textFill>
                  <w14:solidFill>
                    <w14:schemeClr w14:val="tx1"/>
                  </w14:solidFill>
                </w14:textFill>
              </w:rPr>
              <w:t>3</w:t>
            </w:r>
            <w:r>
              <w:rPr>
                <w:b w:val="0"/>
                <w:bCs w:val="0"/>
                <w:color w:val="000000" w:themeColor="text1"/>
                <w:sz w:val="24"/>
                <w:szCs w:val="24"/>
                <w14:textFill>
                  <w14:solidFill>
                    <w14:schemeClr w14:val="tx1"/>
                  </w14:solidFill>
                </w14:textFill>
              </w:rPr>
              <w:t xml:space="preserve">                           Version: </w:t>
            </w:r>
            <w:r>
              <w:rPr>
                <w:rFonts w:hint="eastAsia"/>
                <w:b w:val="0"/>
                <w:bCs w:val="0"/>
                <w:color w:val="000000" w:themeColor="text1"/>
                <w:sz w:val="24"/>
                <w:szCs w:val="24"/>
                <w:lang w:val="en-US" w:eastAsia="zh-CN"/>
                <w14:textFill>
                  <w14:solidFill>
                    <w14:schemeClr w14:val="tx1"/>
                  </w14:solidFill>
                </w14:textFill>
              </w:rPr>
              <w:t>1.0</w:t>
            </w:r>
          </w:p>
          <w:p>
            <w:pPr>
              <w:jc w:val="left"/>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P</w:t>
            </w:r>
            <w:r>
              <w:rPr>
                <w:b w:val="0"/>
                <w:bCs w:val="0"/>
                <w:color w:val="000000" w:themeColor="text1"/>
                <w:sz w:val="24"/>
                <w:szCs w:val="24"/>
                <w14:textFill>
                  <w14:solidFill>
                    <w14:schemeClr w14:val="tx1"/>
                  </w14:solidFill>
                </w14:textFill>
              </w:rPr>
              <w:t>roduct</w:t>
            </w:r>
            <w:r>
              <w:rPr>
                <w:rFonts w:hint="eastAsia"/>
                <w:b w:val="0"/>
                <w:bCs w:val="0"/>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 xml:space="preserve"> </w:t>
            </w:r>
            <w:r>
              <w:rPr>
                <w:rFonts w:hint="default" w:ascii="Calibri" w:hAnsi="Calibri" w:eastAsia="宋体" w:cs="Calibri"/>
                <w:color w:val="000000" w:themeColor="text1"/>
                <w:kern w:val="0"/>
                <w:sz w:val="24"/>
                <w:szCs w:val="24"/>
                <w:shd w:val="clear" w:color="auto" w:fill="auto"/>
                <w:lang w:val="en-US" w:eastAsia="zh-CN" w:bidi="ar"/>
                <w14:textFill>
                  <w14:solidFill>
                    <w14:schemeClr w14:val="tx1"/>
                  </w14:solidFill>
                </w14:textFill>
              </w:rPr>
              <w:t>2-Methylcyclohexylamine</w:t>
            </w:r>
            <w:r>
              <w:rPr>
                <w:b/>
                <w:bCs/>
                <w:i/>
                <w:iCs/>
                <w:color w:val="000000" w:themeColor="text1"/>
                <w:sz w:val="24"/>
                <w:szCs w:val="24"/>
                <w14:textFill>
                  <w14:solidFill>
                    <w14:schemeClr w14:val="tx1"/>
                  </w14:solidFill>
                </w14:textFill>
              </w:rPr>
              <w:t xml:space="preserve">              </w:t>
            </w:r>
            <w:r>
              <w:rPr>
                <w:b w:val="0"/>
                <w:bCs w:val="0"/>
                <w:color w:val="000000" w:themeColor="text1"/>
                <w:sz w:val="24"/>
                <w:szCs w:val="24"/>
                <w14:textFill>
                  <w14:solidFill>
                    <w14:schemeClr w14:val="tx1"/>
                  </w14:solidFill>
                </w14:textFill>
              </w:rPr>
              <w:t xml:space="preserve">CAS-No.: </w:t>
            </w:r>
            <w:r>
              <w:rPr>
                <w:rFonts w:hint="eastAsia"/>
                <w:b w:val="0"/>
                <w:bCs w:val="0"/>
                <w:color w:val="000000" w:themeColor="text1"/>
                <w:sz w:val="24"/>
                <w:szCs w:val="24"/>
                <w:lang w:val="en-US" w:eastAsia="zh-CN"/>
                <w14:textFill>
                  <w14:solidFill>
                    <w14:schemeClr w14:val="tx1"/>
                  </w14:solidFill>
                </w14:textFill>
              </w:rPr>
              <w:t>7</w:t>
            </w:r>
            <w:r>
              <w:rPr>
                <w:rFonts w:hint="default" w:ascii="Calibri" w:hAnsi="Calibri" w:eastAsia="CIDFont" w:cs="Calibri"/>
                <w:color w:val="000000"/>
                <w:kern w:val="0"/>
                <w:sz w:val="24"/>
                <w:szCs w:val="24"/>
                <w:vertAlign w:val="baseline"/>
                <w:lang w:val="en-US" w:eastAsia="zh-CN" w:bidi="ar"/>
              </w:rPr>
              <w:t>0</w:t>
            </w:r>
            <w:r>
              <w:rPr>
                <w:rFonts w:hint="eastAsia" w:ascii="Calibri" w:hAnsi="Calibri" w:eastAsia="CIDFont" w:cs="Calibri"/>
                <w:color w:val="000000"/>
                <w:kern w:val="0"/>
                <w:sz w:val="24"/>
                <w:szCs w:val="24"/>
                <w:vertAlign w:val="baseline"/>
                <w:lang w:val="en-US" w:eastAsia="zh-CN" w:bidi="ar"/>
              </w:rPr>
              <w:t>03</w:t>
            </w:r>
            <w:r>
              <w:rPr>
                <w:rFonts w:hint="default" w:ascii="Calibri" w:hAnsi="Calibri" w:eastAsia="CIDFont" w:cs="Calibri"/>
                <w:color w:val="000000"/>
                <w:kern w:val="0"/>
                <w:sz w:val="24"/>
                <w:szCs w:val="24"/>
                <w:vertAlign w:val="baseline"/>
                <w:lang w:val="en-US" w:eastAsia="zh-CN" w:bidi="ar"/>
              </w:rPr>
              <w:t>-</w:t>
            </w:r>
            <w:r>
              <w:rPr>
                <w:rFonts w:hint="eastAsia" w:ascii="Calibri" w:hAnsi="Calibri" w:eastAsia="CIDFont" w:cs="Calibri"/>
                <w:color w:val="000000"/>
                <w:kern w:val="0"/>
                <w:sz w:val="24"/>
                <w:szCs w:val="24"/>
                <w:vertAlign w:val="baseline"/>
                <w:lang w:val="en-US" w:eastAsia="zh-CN" w:bidi="ar"/>
              </w:rPr>
              <w:t>32</w:t>
            </w:r>
            <w:r>
              <w:rPr>
                <w:rFonts w:hint="default" w:ascii="Calibri" w:hAnsi="Calibri" w:eastAsia="CIDFont" w:cs="Calibri"/>
                <w:color w:val="000000"/>
                <w:kern w:val="0"/>
                <w:sz w:val="24"/>
                <w:szCs w:val="24"/>
                <w:vertAlign w:val="baseline"/>
                <w:lang w:val="en-US" w:eastAsia="zh-CN" w:bidi="ar"/>
              </w:rPr>
              <w:t>-</w:t>
            </w:r>
            <w:r>
              <w:rPr>
                <w:rFonts w:hint="eastAsia" w:ascii="Calibri" w:hAnsi="Calibri" w:eastAsia="CIDFont" w:cs="Calibri"/>
                <w:color w:val="000000"/>
                <w:kern w:val="0"/>
                <w:sz w:val="24"/>
                <w:szCs w:val="24"/>
                <w:vertAlign w:val="baseline"/>
                <w:lang w:val="en-US" w:eastAsia="zh-CN" w:bidi="ar"/>
              </w:rPr>
              <w:t>9</w:t>
            </w:r>
            <w:r>
              <w:rPr>
                <w:b/>
                <w:bCs/>
                <w:i/>
                <w:iCs/>
                <w:color w:val="000000" w:themeColor="text1"/>
                <w:sz w:val="24"/>
                <w:szCs w:val="24"/>
                <w14:textFill>
                  <w14:solidFill>
                    <w14:schemeClr w14:val="tx1"/>
                  </w14:solidFill>
                </w14:textFill>
              </w:rPr>
              <w:t xml:space="preserve">                 </w:t>
            </w:r>
          </w:p>
        </w:tc>
      </w:tr>
    </w:tbl>
    <w:tbl>
      <w:tblPr>
        <w:tblStyle w:val="5"/>
        <w:tblpPr w:leftFromText="180" w:rightFromText="180" w:vertAnchor="text" w:horzAnchor="margin" w:tblpY="51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3857" w:type="dxa"/>
          </w:tcPr>
          <w:p>
            <w:pPr>
              <w:rPr>
                <w:b/>
                <w:bCs/>
                <w:sz w:val="24"/>
                <w:szCs w:val="24"/>
              </w:rPr>
            </w:pPr>
            <w:r>
              <w:rPr>
                <w:b/>
                <w:bCs/>
                <w:sz w:val="24"/>
                <w:szCs w:val="24"/>
              </w:rPr>
              <w:t>Descriptions</w:t>
            </w:r>
            <w:r>
              <w:rPr>
                <w:rFonts w:hint="eastAsia"/>
                <w:b/>
                <w:bCs/>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3857" w:type="dxa"/>
          </w:tcPr>
          <w:p>
            <w:pPr>
              <w:jc w:val="left"/>
              <w:rPr>
                <w:rFonts w:hint="eastAsia"/>
                <w:szCs w:val="21"/>
                <w:lang w:val="en-US" w:eastAsia="zh-CN"/>
              </w:rPr>
            </w:pPr>
            <w:r>
              <w:rPr>
                <w:rFonts w:hint="eastAsia"/>
                <w:szCs w:val="21"/>
              </w:rPr>
              <w:t>Colorless to light yellow transparent liquid at room temperature, soluble in alcohol and ether solvents, insoluble in water.</w:t>
            </w:r>
            <w:r>
              <w:rPr>
                <w:rFonts w:hint="default"/>
                <w:szCs w:val="21"/>
              </w:rPr>
              <w:t>It's a strong basic tertiary amine compound.</w:t>
            </w:r>
          </w:p>
          <w:tbl>
            <w:tblPr>
              <w:tblStyle w:val="5"/>
              <w:tblpPr w:leftFromText="180" w:rightFromText="180" w:vertAnchor="text" w:horzAnchor="margin" w:tblpY="84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634" w:type="dxa"/>
                </w:tcPr>
                <w:p>
                  <w:pPr>
                    <w:jc w:val="left"/>
                    <w:rPr>
                      <w:rFonts w:hint="eastAsia"/>
                      <w:szCs w:val="21"/>
                      <w:lang w:val="en-US" w:eastAsia="zh-CN"/>
                    </w:rPr>
                  </w:pPr>
                  <w:bookmarkStart w:id="0" w:name="_Hlk62735790"/>
                  <w:r>
                    <w:rPr>
                      <w:rFonts w:hint="eastAsia"/>
                      <w:b/>
                      <w:bCs/>
                      <w:sz w:val="24"/>
                      <w:szCs w:val="24"/>
                      <w:lang w:val="en-US" w:eastAsia="zh-CN"/>
                    </w:rPr>
                    <w:t>Applications：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trPr>
              <w:tc>
                <w:tcPr>
                  <w:tcW w:w="3634" w:type="dxa"/>
                </w:tcPr>
                <w:p>
                  <w:pPr>
                    <w:jc w:val="left"/>
                    <w:rPr>
                      <w:rFonts w:hint="eastAsia"/>
                      <w:szCs w:val="21"/>
                      <w:lang w:val="en-US" w:eastAsia="zh-CN"/>
                    </w:rPr>
                  </w:pPr>
                  <w:r>
                    <w:rPr>
                      <w:rFonts w:hint="eastAsia"/>
                      <w:szCs w:val="21"/>
                      <w:lang w:val="en-US" w:eastAsia="zh-CN"/>
                    </w:rPr>
                    <w:t>I</w:t>
                  </w:r>
                  <w:r>
                    <w:rPr>
                      <w:rFonts w:hint="eastAsia"/>
                      <w:szCs w:val="21"/>
                    </w:rPr>
                    <w:t>t is mainly used as a catalyst for rigid polyurethane foam. It is a medium active amine catalyst with low viscosity, used for refrigerator, plate, spraying and spot perfusion of rigid polyurethane foam.</w:t>
                  </w:r>
                </w:p>
              </w:tc>
            </w:tr>
            <w:bookmarkEnd w:id="0"/>
          </w:tbl>
          <w:p>
            <w:pPr>
              <w:spacing w:line="360" w:lineRule="auto"/>
              <w:rPr>
                <w:szCs w:val="21"/>
              </w:rPr>
            </w:pPr>
          </w:p>
        </w:tc>
      </w:tr>
    </w:tbl>
    <w:tbl>
      <w:tblPr>
        <w:tblStyle w:val="5"/>
        <w:tblpPr w:leftFromText="180" w:rightFromText="180" w:vertAnchor="text" w:horzAnchor="page" w:tblpX="6241" w:tblpY="39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11" w:type="dxa"/>
            <w:gridSpan w:val="2"/>
            <w:tcBorders>
              <w:bottom w:val="single" w:color="auto" w:sz="8" w:space="0"/>
            </w:tcBorders>
          </w:tcPr>
          <w:p>
            <w:pPr>
              <w:rPr>
                <w:b/>
                <w:bCs/>
                <w:sz w:val="24"/>
                <w:szCs w:val="24"/>
              </w:rPr>
            </w:pPr>
            <w:r>
              <w:rPr>
                <w:b/>
                <w:bCs/>
                <w:sz w:val="24"/>
                <w:szCs w:val="24"/>
              </w:rPr>
              <w:t>Items can be detected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56" w:type="dxa"/>
            <w:tcBorders>
              <w:top w:val="single" w:color="auto" w:sz="8" w:space="0"/>
              <w:left w:val="single" w:color="auto" w:sz="8" w:space="0"/>
              <w:bottom w:val="single" w:color="auto" w:sz="8" w:space="0"/>
              <w:right w:val="single" w:color="auto" w:sz="8" w:space="0"/>
            </w:tcBorders>
            <w:shd w:val="clear" w:color="auto" w:fill="FFD965" w:themeFill="accent4" w:themeFillTint="99"/>
            <w:vAlign w:val="center"/>
          </w:tcPr>
          <w:p>
            <w:pPr>
              <w:jc w:val="center"/>
              <w:rPr>
                <w:b/>
                <w:bCs/>
                <w:szCs w:val="21"/>
              </w:rPr>
            </w:pPr>
            <w:r>
              <w:rPr>
                <w:b/>
                <w:bCs/>
                <w:szCs w:val="21"/>
              </w:rPr>
              <w:t>Test Item</w:t>
            </w:r>
          </w:p>
        </w:tc>
        <w:tc>
          <w:tcPr>
            <w:tcW w:w="2155" w:type="dxa"/>
            <w:tcBorders>
              <w:top w:val="single" w:color="auto" w:sz="8" w:space="0"/>
              <w:left w:val="single" w:color="auto" w:sz="8" w:space="0"/>
              <w:bottom w:val="single" w:color="auto" w:sz="8" w:space="0"/>
              <w:right w:val="single" w:color="auto" w:sz="8" w:space="0"/>
            </w:tcBorders>
            <w:shd w:val="clear" w:color="auto" w:fill="FFD965" w:themeFill="accent4" w:themeFillTint="99"/>
            <w:vAlign w:val="center"/>
          </w:tcPr>
          <w:p>
            <w:pPr>
              <w:jc w:val="center"/>
              <w:rPr>
                <w:b/>
                <w:bCs/>
                <w:szCs w:val="21"/>
              </w:rPr>
            </w:pPr>
            <w:r>
              <w:rPr>
                <w:rFonts w:hint="eastAsia"/>
                <w:b/>
                <w:bCs/>
                <w:szCs w:val="21"/>
              </w:rPr>
              <w:t>S</w:t>
            </w:r>
            <w:r>
              <w:rPr>
                <w:b/>
                <w:bCs/>
                <w:szCs w:val="21"/>
              </w:rPr>
              <w:t>pecification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65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szCs w:val="21"/>
              </w:rPr>
              <w:t>P</w:t>
            </w:r>
            <w:r>
              <w:rPr>
                <w:szCs w:val="21"/>
              </w:rPr>
              <w:t>urity</w:t>
            </w:r>
            <w:r>
              <w:rPr>
                <w:rFonts w:hint="eastAsia"/>
                <w:szCs w:val="21"/>
              </w:rPr>
              <w:t>，%min</w:t>
            </w:r>
          </w:p>
        </w:tc>
        <w:tc>
          <w:tcPr>
            <w:tcW w:w="2155"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szCs w:val="21"/>
              </w:rPr>
              <w:t>9</w:t>
            </w:r>
            <w:r>
              <w:rPr>
                <w:rFonts w:hint="eastAsia"/>
                <w:szCs w:val="21"/>
                <w:lang w:val="en-US" w:eastAsia="zh-CN"/>
              </w:rPr>
              <w:t>9</w:t>
            </w:r>
            <w:r>
              <w:rPr>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65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Water content, %max</w:t>
            </w:r>
          </w:p>
        </w:tc>
        <w:tc>
          <w:tcPr>
            <w:tcW w:w="2155"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szCs w:val="21"/>
              </w:rPr>
              <w:t>0</w:t>
            </w:r>
            <w:r>
              <w:rPr>
                <w:szCs w:val="21"/>
              </w:rPr>
              <w:t>.5</w:t>
            </w:r>
          </w:p>
        </w:tc>
      </w:tr>
    </w:tbl>
    <w:p>
      <w:pPr>
        <w:rPr>
          <w:b/>
          <w:bCs/>
          <w:sz w:val="30"/>
          <w:szCs w:val="30"/>
        </w:rPr>
      </w:pPr>
    </w:p>
    <w:tbl>
      <w:tblPr>
        <w:tblStyle w:val="5"/>
        <w:tblpPr w:leftFromText="180" w:rightFromText="180" w:vertAnchor="text" w:horzAnchor="page" w:tblpX="6271" w:tblpY="160"/>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711"/>
        <w:gridCol w:w="2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trPr>
        <w:tc>
          <w:tcPr>
            <w:tcW w:w="4791" w:type="dxa"/>
            <w:gridSpan w:val="2"/>
            <w:shd w:val="clear" w:color="auto" w:fill="FFD965" w:themeFill="accent4" w:themeFillTint="99"/>
            <w:vAlign w:val="center"/>
          </w:tcPr>
          <w:p>
            <w:pPr>
              <w:jc w:val="center"/>
              <w:rPr>
                <w:b/>
                <w:bCs/>
                <w:szCs w:val="21"/>
              </w:rPr>
            </w:pPr>
            <w:r>
              <w:rPr>
                <w:b/>
                <w:bCs/>
                <w:szCs w:val="21"/>
              </w:rPr>
              <w:t>Typical Properties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2711" w:type="dxa"/>
            <w:shd w:val="clear" w:color="auto" w:fill="auto"/>
            <w:vAlign w:val="center"/>
          </w:tcPr>
          <w:p>
            <w:pPr>
              <w:jc w:val="center"/>
              <w:rPr>
                <w:szCs w:val="21"/>
              </w:rPr>
            </w:pPr>
            <w:r>
              <w:rPr>
                <w:szCs w:val="21"/>
              </w:rPr>
              <w:t>Appearance</w:t>
            </w:r>
          </w:p>
        </w:tc>
        <w:tc>
          <w:tcPr>
            <w:tcW w:w="2080" w:type="dxa"/>
            <w:shd w:val="clear" w:color="auto" w:fill="auto"/>
            <w:vAlign w:val="center"/>
          </w:tcPr>
          <w:p>
            <w:pPr>
              <w:jc w:val="center"/>
              <w:rPr>
                <w:szCs w:val="21"/>
              </w:rPr>
            </w:pPr>
            <w:r>
              <w:rPr>
                <w:szCs w:val="21"/>
              </w:rPr>
              <w:t xml:space="preserve">Colorless to light yellow liquid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2711" w:type="dxa"/>
            <w:vAlign w:val="center"/>
          </w:tcPr>
          <w:p>
            <w:pPr>
              <w:jc w:val="center"/>
              <w:rPr>
                <w:szCs w:val="21"/>
              </w:rPr>
            </w:pPr>
            <w:r>
              <w:rPr>
                <w:szCs w:val="21"/>
              </w:rPr>
              <w:t>Flash point</w:t>
            </w:r>
          </w:p>
        </w:tc>
        <w:tc>
          <w:tcPr>
            <w:tcW w:w="2080" w:type="dxa"/>
            <w:vAlign w:val="center"/>
          </w:tcPr>
          <w:p>
            <w:pPr>
              <w:jc w:val="center"/>
              <w:rPr>
                <w:szCs w:val="21"/>
              </w:rPr>
            </w:pPr>
            <w:r>
              <w:rPr>
                <w:szCs w:val="21"/>
              </w:rPr>
              <w:t>40-41℃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trPr>
        <w:tc>
          <w:tcPr>
            <w:tcW w:w="2711" w:type="dxa"/>
            <w:vAlign w:val="center"/>
          </w:tcPr>
          <w:p>
            <w:pPr>
              <w:jc w:val="center"/>
              <w:rPr>
                <w:szCs w:val="21"/>
              </w:rPr>
            </w:pPr>
            <w:r>
              <w:rPr>
                <w:szCs w:val="21"/>
              </w:rPr>
              <w:t>Boi</w:t>
            </w:r>
            <w:r>
              <w:rPr>
                <w:rFonts w:hint="eastAsia"/>
                <w:szCs w:val="21"/>
              </w:rPr>
              <w:t>ling</w:t>
            </w:r>
            <w:r>
              <w:rPr>
                <w:szCs w:val="21"/>
              </w:rPr>
              <w:t xml:space="preserve"> point</w:t>
            </w:r>
          </w:p>
        </w:tc>
        <w:tc>
          <w:tcPr>
            <w:tcW w:w="2080" w:type="dxa"/>
            <w:vAlign w:val="center"/>
          </w:tcPr>
          <w:p>
            <w:pPr>
              <w:jc w:val="center"/>
              <w:rPr>
                <w:szCs w:val="21"/>
              </w:rPr>
            </w:pPr>
            <w:r>
              <w:rPr>
                <w:szCs w:val="21"/>
              </w:rPr>
              <w:t>149-150</w:t>
            </w:r>
            <w:r>
              <w:rPr>
                <w:rFonts w:hint="eastAsia"/>
                <w:szCs w:val="21"/>
                <w:lang w:val="en-US" w:eastAsia="zh-CN"/>
              </w:rPr>
              <w:t>9</w:t>
            </w:r>
            <w:r>
              <w:rPr>
                <w:szCs w:val="21"/>
              </w:rPr>
              <w:t>ºC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trPr>
        <w:tc>
          <w:tcPr>
            <w:tcW w:w="2711" w:type="dxa"/>
            <w:vAlign w:val="center"/>
          </w:tcPr>
          <w:p>
            <w:pPr>
              <w:jc w:val="center"/>
              <w:rPr>
                <w:szCs w:val="21"/>
              </w:rPr>
            </w:pPr>
            <w:r>
              <w:rPr>
                <w:rFonts w:hint="eastAsia"/>
                <w:szCs w:val="21"/>
                <w:lang w:val="en-US" w:eastAsia="zh-CN"/>
              </w:rPr>
              <w:t>Freez</w:t>
            </w:r>
            <w:r>
              <w:rPr>
                <w:szCs w:val="21"/>
              </w:rPr>
              <w:t>ing point</w:t>
            </w:r>
          </w:p>
        </w:tc>
        <w:tc>
          <w:tcPr>
            <w:tcW w:w="2080" w:type="dxa"/>
            <w:vAlign w:val="center"/>
          </w:tcPr>
          <w:p>
            <w:pPr>
              <w:jc w:val="center"/>
              <w:rPr>
                <w:szCs w:val="21"/>
              </w:rPr>
            </w:pPr>
            <w:r>
              <w:rPr>
                <w:szCs w:val="21"/>
              </w:rPr>
              <w:t>-60ºC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2711" w:type="dxa"/>
            <w:vAlign w:val="center"/>
          </w:tcPr>
          <w:p>
            <w:pPr>
              <w:jc w:val="center"/>
              <w:rPr>
                <w:szCs w:val="21"/>
              </w:rPr>
            </w:pPr>
            <w:r>
              <w:rPr>
                <w:szCs w:val="21"/>
              </w:rPr>
              <w:t>Density</w:t>
            </w:r>
          </w:p>
        </w:tc>
        <w:tc>
          <w:tcPr>
            <w:tcW w:w="2080" w:type="dxa"/>
            <w:vAlign w:val="center"/>
          </w:tcPr>
          <w:p>
            <w:pPr>
              <w:jc w:val="center"/>
              <w:rPr>
                <w:szCs w:val="21"/>
              </w:rPr>
            </w:pPr>
            <w:r>
              <w:rPr>
                <w:szCs w:val="21"/>
              </w:rPr>
              <w:t>0.85-0.87g/cm3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2711" w:type="dxa"/>
            <w:vAlign w:val="center"/>
          </w:tcPr>
          <w:p>
            <w:pPr>
              <w:jc w:val="center"/>
              <w:rPr>
                <w:szCs w:val="21"/>
              </w:rPr>
            </w:pPr>
            <w:r>
              <w:rPr>
                <w:szCs w:val="21"/>
              </w:rPr>
              <w:t>W</w:t>
            </w:r>
            <w:r>
              <w:rPr>
                <w:rFonts w:hint="eastAsia"/>
                <w:szCs w:val="21"/>
              </w:rPr>
              <w:t>ater</w:t>
            </w:r>
            <w:r>
              <w:rPr>
                <w:szCs w:val="21"/>
              </w:rPr>
              <w:t xml:space="preserve"> solubility</w:t>
            </w:r>
          </w:p>
        </w:tc>
        <w:tc>
          <w:tcPr>
            <w:tcW w:w="2080" w:type="dxa"/>
            <w:vAlign w:val="center"/>
          </w:tcPr>
          <w:p>
            <w:pPr>
              <w:jc w:val="center"/>
              <w:rPr>
                <w:rFonts w:hint="default"/>
                <w:szCs w:val="21"/>
                <w:lang w:val="en-US" w:eastAsia="zh-CN"/>
              </w:rPr>
            </w:pPr>
            <w:r>
              <w:rPr>
                <w:szCs w:val="21"/>
              </w:rPr>
              <w:t>slightly soluble</w:t>
            </w:r>
          </w:p>
        </w:tc>
      </w:tr>
    </w:tbl>
    <w:p>
      <w:pPr>
        <w:rPr>
          <w:b/>
          <w:bCs/>
          <w:sz w:val="30"/>
          <w:szCs w:val="30"/>
        </w:rPr>
      </w:pPr>
    </w:p>
    <w:p>
      <w:pPr>
        <w:rPr>
          <w:sz w:val="44"/>
          <w:szCs w:val="44"/>
        </w:rPr>
      </w:pPr>
    </w:p>
    <w:tbl>
      <w:tblPr>
        <w:tblStyle w:val="5"/>
        <w:tblpPr w:leftFromText="180" w:rightFromText="180" w:vertAnchor="text" w:horzAnchor="page" w:tblpX="6319" w:tblpY="53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918" w:type="dxa"/>
          </w:tcPr>
          <w:p>
            <w:pPr>
              <w:rPr>
                <w:b/>
                <w:bCs/>
                <w:sz w:val="24"/>
                <w:szCs w:val="24"/>
              </w:rPr>
            </w:pPr>
            <w:r>
              <w:rPr>
                <w:rFonts w:hint="eastAsia"/>
                <w:b/>
                <w:bCs/>
                <w:sz w:val="24"/>
                <w:szCs w:val="24"/>
              </w:rPr>
              <w:t>Storage</w:t>
            </w:r>
            <w:r>
              <w:rPr>
                <w:b/>
                <w:bCs/>
                <w:sz w:val="24"/>
                <w:szCs w:val="24"/>
              </w:rPr>
              <w:t xml:space="preserve">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4918" w:type="dxa"/>
          </w:tcPr>
          <w:p>
            <w:pPr>
              <w:jc w:val="left"/>
              <w:rPr>
                <w:szCs w:val="21"/>
              </w:rPr>
            </w:pPr>
            <w:r>
              <w:rPr>
                <w:szCs w:val="21"/>
              </w:rPr>
              <w:t>Keep container tightly closed in a dry and well-ventilated place. Containers which are opened must be carefully resealed and kept upright to prevent leakage. Store in cool place. Avoid contact with skin and eyes. Avoid inhalation of vapor or mist.</w:t>
            </w:r>
          </w:p>
          <w:p>
            <w:pPr>
              <w:jc w:val="left"/>
              <w:rPr>
                <w:szCs w:val="21"/>
              </w:rPr>
            </w:pPr>
          </w:p>
        </w:tc>
      </w:tr>
    </w:tbl>
    <w:p>
      <w:pPr>
        <w:ind w:firstLine="241" w:firstLineChars="100"/>
        <w:rPr>
          <w:sz w:val="24"/>
          <w:szCs w:val="24"/>
        </w:rPr>
      </w:pPr>
      <w:r>
        <w:rPr>
          <w:b/>
          <w:bCs/>
          <w:sz w:val="24"/>
          <w:szCs w:val="24"/>
        </w:rPr>
        <w:t>Shelf Life:</w:t>
      </w:r>
      <w:r>
        <w:rPr>
          <w:sz w:val="24"/>
          <w:szCs w:val="24"/>
        </w:rPr>
        <w:t xml:space="preserve"> 12 </w:t>
      </w:r>
      <w:r>
        <w:rPr>
          <w:rFonts w:hint="eastAsia"/>
          <w:sz w:val="24"/>
          <w:szCs w:val="24"/>
        </w:rPr>
        <w:t>m</w:t>
      </w:r>
      <w:r>
        <w:rPr>
          <w:sz w:val="24"/>
          <w:szCs w:val="24"/>
        </w:rPr>
        <w:t>onths</w:t>
      </w:r>
    </w:p>
    <w:p>
      <w:pPr>
        <w:rPr>
          <w:color w:val="0070C0"/>
          <w:szCs w:val="21"/>
        </w:rPr>
      </w:pPr>
    </w:p>
    <w:p/>
    <w:p/>
    <w:p/>
    <w:p/>
    <w:bookmarkEnd w:id="1"/>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tab w:relativeTo="margin" w:alignment="center" w:leader="none"/>
    </w:r>
    <w:r>
      <w:rPr>
        <w:b/>
        <w:bCs/>
        <w:color w:val="FFD966" w:themeColor="accent4" w:themeTint="99"/>
        <w:sz w:val="21"/>
        <w:szCs w:val="21"/>
        <w14:textFill>
          <w14:solidFill>
            <w14:schemeClr w14:val="accent4">
              <w14:lumMod w14:val="60000"/>
              <w14:lumOff w14:val="40000"/>
            </w14:schemeClr>
          </w14:solidFill>
        </w14:textFill>
      </w:rPr>
      <w:t>SHANGHAI</w:t>
    </w:r>
    <w:r>
      <w:rPr>
        <w:rFonts w:hint="eastAsia"/>
        <w:b/>
        <w:bCs/>
        <w:color w:val="FFD966" w:themeColor="accent4" w:themeTint="99"/>
        <w:sz w:val="21"/>
        <w:szCs w:val="21"/>
        <w:lang w:val="en-US" w:eastAsia="zh-CN"/>
        <w14:textFill>
          <w14:solidFill>
            <w14:schemeClr w14:val="accent4">
              <w14:lumMod w14:val="60000"/>
              <w14:lumOff w14:val="40000"/>
            </w14:schemeClr>
          </w14:solidFill>
        </w14:textFill>
      </w:rPr>
      <w:t xml:space="preserve"> OHANS</w:t>
    </w:r>
    <w:r>
      <w:rPr>
        <w:b/>
        <w:bCs/>
        <w:color w:val="FFD966" w:themeColor="accent4" w:themeTint="99"/>
        <w:sz w:val="21"/>
        <w:szCs w:val="21"/>
        <w14:textFill>
          <w14:solidFill>
            <w14:schemeClr w14:val="accent4">
              <w14:lumMod w14:val="60000"/>
              <w14:lumOff w14:val="40000"/>
            </w14:schemeClr>
          </w14:solidFill>
        </w14:textFill>
      </w:rPr>
      <w:t xml:space="preserve"> CO., LTD.</w:t>
    </w:r>
    <w:r>
      <w:ptab w:relativeTo="margin" w:alignment="right" w:leader="none"/>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74E5D"/>
    <w:rsid w:val="30474E5D"/>
    <w:rsid w:val="6124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List Table 6 Colorful"/>
    <w:basedOn w:val="4"/>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2022-01-14T05:59:00Z</dcterms:created>
  <dc:creator>18429</dc:creator>
  <cp:lastModifiedBy>Administrator</cp:lastModifiedBy>
  <dcterms:modified xsi:type="dcterms:W3CDTF">2022-02-08T06:18:25Z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E3F89E4576B141548C617DE19B44BF51</vt:lpwstr>
  </property>
</Properties>
</file>